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PCA Scope of Work Addendum</w:t>
      </w:r>
    </w:p>
    <w:p>
      <w:pPr>
        <w:spacing w:after="120"/>
      </w:pPr>
      <w:r>
        <w:rPr>
          <w:i/>
          <w:iCs/>
          <w:sz w:val="20"/>
          <w:szCs w:val="20"/>
        </w:rPr>
        <w:t xml:space="preserve">Fillable template. Everything highlighted in yellow is yours to replace — 6 places in this document. Delete anything that does not apply to your file. If any yellow is left, it is not finished.</w:t>
      </w:r>
    </w:p>
    <w:p>
      <w:pPr>
        <w:spacing w:after="120"/>
      </w:pPr>
      <w:r>
        <w:rPr>
          <w:i/>
          <w:iCs/>
          <w:sz w:val="20"/>
          <w:szCs w:val="20"/>
        </w:rPr>
        <w:t xml:space="preserve">A completed example of this document is on page 2. Section-by-section guidance: pca.professionaldrafter.com/property-condition-report/pca-scope-of-work-addendum/</w:t>
      </w:r>
    </w:p>
    <w:p/>
    <w:p>
      <w:pPr>
        <w:pStyle w:val="Heading2"/>
      </w:pPr>
      <w:r>
        <w:t xml:space="preserve">Original Engagement and Change Requested</w:t>
      </w:r>
    </w:p>
    <w:p>
      <w:pPr>
        <w:spacing w:after="120"/>
      </w:pPr>
      <w:r>
        <w:rPr>
          <w:i/>
          <w:iCs/>
          <w:sz w:val="18"/>
          <w:szCs w:val="18"/>
        </w:rPr>
        <w:t xml:space="preserve">Identify the original agreement and the specific request. Record whether the consultant considers it already included or additional work, with the basis in the agreement. Avoid assuming every return visit carries an extra fee.</w:t>
      </w:r>
    </w:p>
    <w:p>
      <w:pPr>
        <w:spacing w:after="120"/>
      </w:pPr>
      <w:r>
        <w:rPr>
          <w:highlight w:val="yellow"/>
          <w:highlightCs w:val="yellow"/>
        </w:rPr>
        <w:t xml:space="preserve">[Property; client; consultant; original agreement date and reference; request date and requester; requested change; whether included or additional under the agreement, and the provision used to decide.]</w:t>
      </w:r>
    </w:p>
    <w:p/>
    <w:p>
      <w:pPr>
        <w:pStyle w:val="Heading2"/>
      </w:pPr>
      <w:r>
        <w:t xml:space="preserve">Decision the Additional Work Will Inform</w:t>
      </w:r>
    </w:p>
    <w:p>
      <w:pPr>
        <w:spacing w:after="120"/>
      </w:pPr>
      <w:r>
        <w:rPr>
          <w:i/>
          <w:iCs/>
          <w:sz w:val="18"/>
          <w:szCs w:val="18"/>
        </w:rPr>
        <w:t xml:space="preserve">Describe what the client needs to decide and what information is missing. A question about a quantity, an observation gap and a proposed future use may call for different work. State the intended output in terms the client can compare with the request.</w:t>
      </w:r>
    </w:p>
    <w:p>
      <w:pPr>
        <w:spacing w:after="120"/>
      </w:pPr>
      <w:r>
        <w:rPr>
          <w:highlight w:val="yellow"/>
          <w:highlightCs w:val="yellow"/>
        </w:rPr>
        <w:t xml:space="preserve">[Client decision; question to be answered; information currently available; unresolved information; report conclusion or schedule entry that could be affected.]</w:t>
      </w:r>
    </w:p>
    <w:p/>
    <w:p>
      <w:pPr>
        <w:pStyle w:val="Heading2"/>
      </w:pPr>
      <w:r>
        <w:t xml:space="preserve">Task Description and Boundaries</w:t>
      </w:r>
    </w:p>
    <w:p>
      <w:pPr>
        <w:spacing w:after="120"/>
      </w:pPr>
      <w:r>
        <w:rPr>
          <w:i/>
          <w:iCs/>
          <w:sz w:val="18"/>
          <w:szCs w:val="18"/>
        </w:rPr>
        <w:t xml:space="preserve">Name the areas, records or observations covered by the proposed task and the stopping point. Where the question needs a separate discipline, refer it for a separate proposal. This template organizes the agreement; it supplies no testing protocol or technical scope for a specialist.</w:t>
      </w:r>
    </w:p>
    <w:p>
      <w:pPr>
        <w:spacing w:after="120"/>
      </w:pPr>
      <w:r>
        <w:rPr>
          <w:highlight w:val="yellow"/>
          <w:highlightCs w:val="yellow"/>
        </w:rPr>
        <w:t xml:space="preserve">[Tasks and areas included; observation or document-review method proposed by the consultant; deliverable from each task; exclusions; unresolved scope questions; separate engagements needed, if any.]</w:t>
      </w:r>
    </w:p>
    <w:p/>
    <w:p>
      <w:pPr>
        <w:pStyle w:val="Heading2"/>
      </w:pPr>
      <w:r>
        <w:t xml:space="preserve">Access, Timing and Commercial Terms</w:t>
      </w:r>
    </w:p>
    <w:p>
      <w:pPr>
        <w:spacing w:after="120"/>
      </w:pPr>
      <w:r>
        <w:rPr>
          <w:i/>
          <w:iCs/>
          <w:sz w:val="18"/>
          <w:szCs w:val="18"/>
        </w:rPr>
        <w:t xml:space="preserve">Record who arranges access, what must be available, the proposed visit or delivery dates, and the agreed commercial terms. NEEDDA's 2018 timing discussion identifies scope, property characteristics, access scheduling and information availability as variables. Use assignment dates here rather than a promised industry turnaround.</w:t>
      </w:r>
    </w:p>
    <w:p>
      <w:pPr>
        <w:spacing w:after="120"/>
      </w:pPr>
      <w:r>
        <w:rPr>
          <w:highlight w:val="yellow"/>
          <w:highlightCs w:val="yellow"/>
        </w:rPr>
        <w:t xml:space="preserve">[Access arrangements and responsible contact; prerequisites; proposed dates; fee proposal reference and status; effect on original delivery date; decision needed if access or information is unavailable.]</w:t>
      </w:r>
    </w:p>
    <w:p/>
    <w:p>
      <w:pPr>
        <w:pStyle w:val="Heading2"/>
      </w:pPr>
      <w:r>
        <w:t xml:space="preserve">Report and Schedule Treatment</w:t>
      </w:r>
    </w:p>
    <w:p>
      <w:pPr>
        <w:spacing w:after="120"/>
      </w:pPr>
      <w:r>
        <w:rPr>
          <w:i/>
          <w:iCs/>
          <w:sz w:val="18"/>
          <w:szCs w:val="18"/>
        </w:rPr>
        <w:t xml:space="preserve">Specify a revised report, addendum or separate attachment and how it will identify the earlier issue. Name the narrative sections and both tables that will be checked if findings change. The [Immediate Repairs Table](/cost-schedules/immediate-repairs-schedule/) and [Replacement Reserves Table](/cost-schedules/replacement-reserves-schedule/) retain their own supporting observations and cost basis.</w:t>
      </w:r>
    </w:p>
    <w:p>
      <w:pPr>
        <w:spacing w:after="120"/>
      </w:pPr>
      <w:r>
        <w:rPr>
          <w:highlight w:val="yellow"/>
          <w:highlightCs w:val="yellow"/>
        </w:rPr>
        <w:t xml:space="preserve">[Proposed report output and revision convention; affected narrative and limitations; Immediate Repairs Table effect; Replacement Reserves Table effect; treatment if additional work is incomplete at original issue.]</w:t>
      </w:r>
    </w:p>
    <w:p/>
    <w:p>
      <w:pPr>
        <w:pStyle w:val="Heading2"/>
      </w:pPr>
      <w:r>
        <w:t xml:space="preserve">Authorization and Completion Status</w:t>
      </w:r>
    </w:p>
    <w:p>
      <w:pPr>
        <w:spacing w:after="120"/>
      </w:pPr>
      <w:r>
        <w:rPr>
          <w:i/>
          <w:iCs/>
          <w:sz w:val="18"/>
          <w:szCs w:val="18"/>
        </w:rPr>
        <w:t xml:space="preserve">Keep requested, agreed, scheduled and completed as distinct events. Identify the agreement record that authorizes the task and, later, the record that establishes completion. An unanswered proposal remains a proposal even when a report deadline passes.</w:t>
      </w:r>
    </w:p>
    <w:p>
      <w:pPr>
        <w:spacing w:after="120"/>
      </w:pPr>
      <w:r>
        <w:rPr>
          <w:highlight w:val="yellow"/>
          <w:highlightCs w:val="yellow"/>
        </w:rPr>
        <w:t xml:space="preserve">[Decision and date; client and consultant agreement records; authorized tasks; scheduled date; completion record and date; outstanding actions and person responsible.]</w:t>
      </w:r>
    </w:p>
    <w:p/>
    <w:p>
      <w:pPr>
        <w:spacing w:before="240"/>
      </w:pPr>
      <w:r>
        <w:rPr>
          <w:i/>
          <w:iCs/>
          <w:sz w:val="18"/>
          <w:szCs w:val="18"/>
        </w:rPr>
        <w:t xml:space="preserve">This template is a general drafting aid. It is not engineering or legal advice, and not an opinion on any building. Client scope governs the assessment, and state and local requirements vary. Adapt this to your engagement and your jurisdiction. Delete this notice before sending.</w:t>
      </w:r>
    </w:p>
    <w:p>
      <w:r>
        <w:br w:type="page"/>
      </w:r>
    </w:p>
    <w:p>
      <w:pPr>
        <w:pStyle w:val="Heading1"/>
      </w:pPr>
      <w:r>
        <w:t xml:space="preserve">Worked example</w:t>
      </w:r>
    </w:p>
    <w:p>
      <w:pPr>
        <w:pBdr>
          <w:left w:val="single" w:color="999999" w:sz="12" w:space="12"/>
        </w:pBdr>
        <w:spacing w:after="200"/>
      </w:pPr>
      <w:r>
        <w:rPr>
          <w:b/>
          <w:bCs/>
          <w:sz w:val="18"/>
          <w:szCs w:val="18"/>
        </w:rPr>
        <w:t xml:space="preserve">FICTIONAL — for illustration only. Every name, figure and date below is invented. Delete this whole section before you use the template above.</w:t>
      </w:r>
    </w:p>
    <w:p>
      <w:pPr>
        <w:spacing w:after="120"/>
      </w:pPr>
      <w:r>
        <w:rPr>
          <w:i/>
          <w:iCs/>
          <w:sz w:val="20"/>
          <w:szCs w:val="20"/>
        </w:rPr>
        <w:t xml:space="preserve">Fictional. A proposed follow-up to the 4 March 2026 Bellwether Commons PCA for Northbank Capital. All correspondence, task identifiers and dates below are invented and illustrative. The proposal remains unapproved at the 27 March report issue, preserving the published northern-paving limitation.</w:t>
      </w:r>
    </w:p>
    <w:p/>
    <w:p>
      <w:pPr>
        <w:pStyle w:val="Heading2"/>
      </w:pPr>
      <w:r>
        <w:t xml:space="preserve">Original Engagement and Change Requested</w:t>
      </w:r>
    </w:p>
    <w:p>
      <w:pPr>
        <w:spacing w:after="120"/>
      </w:pPr>
      <w:r>
        <w:t xml:space="preserve">Change request SC-01 is logged on 6 March under engagement NC-2026-0217 for Bellwether Commons. Northbank asks whether the assessor can return after the snow clears to observe the northern parking area and walkways serving buildings 9 through 11. The request refers to the original acquisition assessment and does not change the intended transaction. The engagement file is to be checked before deciding whether a further visit is included in the original services or needs additional terms. At this entry, the document records the proposed work and leaves that commercial question open.</w:t>
      </w:r>
    </w:p>
    <w:p/>
    <w:p>
      <w:pPr>
        <w:pStyle w:val="Heading2"/>
      </w:pPr>
      <w:r>
        <w:t xml:space="preserve">Decision the Additional Work Will Inform</w:t>
      </w:r>
    </w:p>
    <w:p>
      <w:pPr>
        <w:spacing w:after="120"/>
      </w:pPr>
      <w:r>
        <w:t xml:space="preserve">Northbank wants to understand whether observations of the northern paving would change the paving treatment carried in the PCR. Snow prevented observation there on 4 March. The proposal addresses that information gap without deciding the outcome in advance. It does not state that the northern area is better or worse than the areas seen. The reserve entry remains supported by the existing report's stated basis until the assessor has further evidence to consider. The same request also identifies the northern walkways so that a return to the parking area does not leave the intended extent of the visit ambiguous.</w:t>
      </w:r>
    </w:p>
    <w:p/>
    <w:p>
      <w:pPr>
        <w:pStyle w:val="Heading2"/>
      </w:pPr>
      <w:r>
        <w:t xml:space="preserve">Task Description and Boundaries</w:t>
      </w:r>
    </w:p>
    <w:p>
      <w:pPr>
        <w:spacing w:after="120"/>
      </w:pPr>
      <w:r>
        <w:t xml:space="preserve">The proposed task is a visual return visit to the identified northern paved areas once the surfaces are visible and access is available. The assessor would record the date, locations reached, observations and any remaining obstructions, then consider their effect on the existing narrative and schedules. The proposal includes no pavement cores, subsurface investigation, drainage calculations or repair design. It does not include access to the clubhouse roof or identification of the electrical panels. Those remain separate questions in the PCR. If observations suggest another investigation, the return-visit note will identify the question for a further decision rather than supply that investigation's findings.</w:t>
      </w:r>
    </w:p>
    <w:p/>
    <w:p>
      <w:pPr>
        <w:pStyle w:val="Heading2"/>
      </w:pPr>
      <w:r>
        <w:t xml:space="preserve">Access, Timing and Commercial Terms</w:t>
      </w:r>
    </w:p>
    <w:p>
      <w:pPr>
        <w:spacing w:after="120"/>
      </w:pPr>
      <w:r>
        <w:t xml:space="preserve">Northbank's transaction contact is to obtain confirmation from site management that the named surfaces are visible and accessible before a date is booked. No return date is confirmed and no fee is stated in this example. The proposal asks the consultant to confirm the commercial treatment and the available delivery date after access is established. The existing report issue remains planned for 27 March unless the parties record a different instruction. The availability of a calendar slot alone will not be recorded as confirmation that the snow has cleared; the access confirmation is a separate action in the log.</w:t>
      </w:r>
    </w:p>
    <w:p/>
    <w:p>
      <w:pPr>
        <w:pStyle w:val="Heading2"/>
      </w:pPr>
      <w:r>
        <w:t xml:space="preserve">Report and Schedule Treatment</w:t>
      </w:r>
    </w:p>
    <w:p>
      <w:pPr>
        <w:spacing w:after="120"/>
      </w:pPr>
      <w:r>
        <w:t xml:space="preserve">If authorized and completed after the original issue, the proposed output is a dated report addendum referencing the 4 March observations and the later visit separately. It would identify any changes to the site narrative, limitations, Immediate Repairs Table and Replacement Reserves Table, including a statement where a table is unaffected. Any revised cost opinion would need its own basis from the assessor. The proposal includes no provisional amount for the unknown outcome. Until that output exists, the northern-area limitation and the issued schedules remain the record of the assessment performed.</w:t>
      </w:r>
    </w:p>
    <w:p/>
    <w:p>
      <w:pPr>
        <w:pStyle w:val="Heading2"/>
      </w:pPr>
      <w:r>
        <w:t xml:space="preserve">Authorization and Completion Status</w:t>
      </w:r>
    </w:p>
    <w:p>
      <w:pPr>
        <w:spacing w:after="120"/>
      </w:pPr>
      <w:r>
        <w:t xml:space="preserve">At the 27 March issue check, SC-01 has no recorded agreement to proceed and no completed return visit. Its status is 'proposed; not scheduled'. The issued PCR continues to identify the snow-covered northern paving as unobserved. The completion field is marked 'no work recorded', which avoids confusing the existence of a proposal with the removal of a limitation. Northbank's transaction contact holds the next action: decide whether to pursue the proposed visit and obtain the consultant's agreed terms. The report file closes for issue with the question visible and the proposed response still pending.</w:t>
      </w:r>
    </w:p>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sz w:val="16"/>
        <w:szCs w:val="16"/>
      </w:rPr>
      <w:t xml:space="preserve">Page </w:t>
    </w:r>
    <w:r>
      <w:rPr>
        <w:sz w:val="16"/>
        <w:szCs w:val="16"/>
      </w:rPr>
      <w:fldChar w:fldCharType="begin"/>
      <w:instrText xml:space="preserve">PAGE</w:instrText>
      <w:fldChar w:fldCharType="separate"/>
      <w:fldChar w:fldCharType="end"/>
    </w:r>
    <w:r>
      <w:rPr>
        <w:sz w:val="16"/>
        <w:szCs w:val="16"/>
      </w:rPr>
      <w:t xml:space="preserve"> of </w:t>
    </w:r>
    <w:r>
      <w:rPr>
        <w:sz w:val="16"/>
        <w:szCs w:val="16"/>
      </w:rPr>
      <w:fldChar w:fldCharType="begin"/>
      <w:instrText xml:space="preserve">NUMPAGES</w:instrText>
      <w:fldChar w:fldCharType="separate"/>
      <w:fldChar w:fldCharType="end"/>
    </w:r>
    <w:r>
      <w:rPr>
        <w:i/>
        <w:iCs/>
        <w:sz w:val="16"/>
        <w:szCs w:val="16"/>
      </w:rPr>
      <w:t xml:space="preserve">   pca.professionaldrafter.com/property-condition-report/pca-scope-of-work-addendum/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sz w:val="16"/>
        <w:szCs w:val="16"/>
      </w:rPr>
      <w:t xml:space="preserve">PCA Scope of Work Addendum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PCA Scope of Work Addendum Template &amp; Example</dc:title>
  <dc:creator>Property Condition Report Library</dc:creator>
  <dc:description>Document a proposed change to a commercial PCA scope: purpose, tasks, access, deliverables and authorization. Worked example and free Word template.</dc:description>
  <cp:lastModifiedBy>Un-named</cp:lastModifiedBy>
  <cp:revision>1</cp:revision>
  <dcterms:created xsi:type="dcterms:W3CDTF">2026-10-13T13:36:14.136Z</dcterms:created>
  <dcterms:modified xsi:type="dcterms:W3CDTF">2026-10-13T13:36:14.136Z</dcterms:modified>
</cp:coreProperties>
</file>

<file path=docProps/custom.xml><?xml version="1.0" encoding="utf-8"?>
<Properties xmlns="http://schemas.openxmlformats.org/officeDocument/2006/custom-properties" xmlns:vt="http://schemas.openxmlformats.org/officeDocument/2006/docPropsVTypes"/>
</file>