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PCA Reliance Letter Request</w:t>
      </w:r>
    </w:p>
    <w:p>
      <w:pPr>
        <w:spacing w:after="120"/>
      </w:pPr>
      <w:r>
        <w:rPr>
          <w:i/>
          <w:iCs/>
          <w:sz w:val="20"/>
          <w:szCs w:val="20"/>
        </w:rPr>
        <w:t xml:space="preserve">Fillable template. Everything highlighted in yellow is yours to replace — 8 places in this document. Delete anything that does not apply to your file. If any yellow is left, it is not finished.</w:t>
      </w:r>
    </w:p>
    <w:p>
      <w:pPr>
        <w:spacing w:after="120"/>
      </w:pPr>
      <w:r>
        <w:rPr>
          <w:i/>
          <w:iCs/>
          <w:sz w:val="20"/>
          <w:szCs w:val="20"/>
        </w:rPr>
        <w:t xml:space="preserve">A completed example of this document is on page 2. Section-by-section guidance: pca.professionaldrafter.com/property-condition-report/pca-reliance-letter-request/</w:t>
      </w:r>
    </w:p>
    <w:p/>
    <w:p>
      <w:pPr>
        <w:pStyle w:val="Heading2"/>
      </w:pPr>
      <w:r>
        <w:t xml:space="preserve">Report and Engagement Identification</w:t>
      </w:r>
    </w:p>
    <w:p>
      <w:pPr>
        <w:spacing w:after="120"/>
      </w:pPr>
      <w:r>
        <w:rPr>
          <w:i/>
          <w:iCs/>
          <w:sz w:val="18"/>
          <w:szCs w:val="18"/>
        </w:rPr>
        <w:t xml:space="preserve">Identify the complete report by property, engagement reference, issue date and revision. Record the observation date separately. Include the schedules and appendices in the file description so the request cannot drift onto a detached summary or an earlier draft.</w:t>
      </w:r>
    </w:p>
    <w:p>
      <w:pPr>
        <w:spacing w:after="120"/>
      </w:pPr>
      <w:r>
        <w:t xml:space="preserve">Report issue / revision: </w:t>
      </w:r>
      <w:r>
        <w:rPr>
          <w:highlight w:val="yellow"/>
          <w:highlightCs w:val="yellow"/>
        </w:rPr>
        <w:t xml:space="preserve">[ ______________________ ]</w:t>
      </w:r>
    </w:p>
    <w:p>
      <w:pPr>
        <w:spacing w:after="120"/>
      </w:pPr>
      <w:r>
        <w:t xml:space="preserve">Site visit date: </w:t>
      </w:r>
      <w:r>
        <w:rPr>
          <w:highlight w:val="yellow"/>
          <w:highlightCs w:val="yellow"/>
        </w:rPr>
        <w:t xml:space="preserve">[ ______________________ ]</w:t>
      </w:r>
    </w:p>
    <w:p>
      <w:pPr>
        <w:spacing w:after="120"/>
      </w:pPr>
      <w:r>
        <w:t xml:space="preserve">Engagement reference: </w:t>
      </w:r>
      <w:r>
        <w:rPr>
          <w:highlight w:val="yellow"/>
          <w:highlightCs w:val="yellow"/>
        </w:rPr>
        <w:t xml:space="preserve">[ ______________________ ]</w:t>
      </w:r>
    </w:p>
    <w:p>
      <w:pPr>
        <w:spacing w:after="120"/>
      </w:pPr>
      <w:r>
        <w:rPr>
          <w:highlight w:val="yellow"/>
          <w:highlightCs w:val="yellow"/>
        </w:rPr>
        <w:t xml:space="preserve">[Property and address; commissioning client; consultant; engagement reference; report title, issue date and revision; site visit date; complete file and attachments supplied with the request.]</w:t>
      </w:r>
    </w:p>
    <w:p/>
    <w:p>
      <w:pPr>
        <w:pStyle w:val="Heading2"/>
      </w:pPr>
      <w:r>
        <w:t xml:space="preserve">Proposed Relying Party and Use</w:t>
      </w:r>
    </w:p>
    <w:p>
      <w:pPr>
        <w:spacing w:after="120"/>
      </w:pPr>
      <w:r>
        <w:rPr>
          <w:i/>
          <w:iCs/>
          <w:sz w:val="18"/>
          <w:szCs w:val="18"/>
        </w:rPr>
        <w:t xml:space="preserve">Name the legal entity and describe the decision it wants to make. Keep an email recipient, an institution's trading name and a proposed relying party in separate fields. List any additional entities explicitly; a request for a bank and its future loan purchasers needs an answer to both parts.</w:t>
      </w:r>
    </w:p>
    <w:p>
      <w:pPr>
        <w:spacing w:after="120"/>
      </w:pPr>
      <w:r>
        <w:rPr>
          <w:highlight w:val="yellow"/>
          <w:highlightCs w:val="yellow"/>
        </w:rPr>
        <w:t xml:space="preserve">[Exact legal name of each proposed relying party; contact and role; proposed transaction and use; requested affiliates or other parties; wording supplied by the requesting party.]</w:t>
      </w:r>
    </w:p>
    <w:p/>
    <w:p>
      <w:pPr>
        <w:pStyle w:val="Heading2"/>
      </w:pPr>
      <w:r>
        <w:t xml:space="preserve">Existing Terms and Requested Changes</w:t>
      </w:r>
    </w:p>
    <w:p>
      <w:pPr>
        <w:spacing w:after="120"/>
      </w:pPr>
      <w:r>
        <w:rPr>
          <w:i/>
          <w:iCs/>
          <w:sz w:val="18"/>
          <w:szCs w:val="18"/>
        </w:rPr>
        <w:t xml:space="preserve">Attach the engagement's existing reliance language and mark what the request would change. Refer questions about assignment, liability allocation, fees and signatures to the people settling those terms. The request log records their answer; it should not silently supply one.</w:t>
      </w:r>
    </w:p>
    <w:p>
      <w:pPr>
        <w:spacing w:after="120"/>
      </w:pPr>
      <w:r>
        <w:rPr>
          <w:highlight w:val="yellow"/>
          <w:highlightCs w:val="yellow"/>
        </w:rPr>
        <w:t xml:space="preserve">[Existing intended-user and reliance provisions, by document reference; requested changes; questions referred to the contracting parties; agreed terms or 'pending'; associated letter attachment, if any.]</w:t>
      </w:r>
    </w:p>
    <w:p/>
    <w:p>
      <w:pPr>
        <w:pStyle w:val="Heading2"/>
      </w:pPr>
      <w:r>
        <w:t xml:space="preserve">Scope, Dates and Outstanding Questions</w:t>
      </w:r>
    </w:p>
    <w:p>
      <w:pPr>
        <w:spacing w:after="120"/>
      </w:pPr>
      <w:r>
        <w:rPr>
          <w:i/>
          <w:iCs/>
          <w:sz w:val="18"/>
          <w:szCs w:val="18"/>
        </w:rPr>
        <w:t xml:space="preserve">Ask the consultant to compare the proposed use with the work actually performed. Carry unresolved findings by report reference, including the effect described in the [limitations statement](/field-observations/limitations-and-field-conditions/). Record a request for current observations as additional work for consideration, with its own status.</w:t>
      </w:r>
    </w:p>
    <w:p>
      <w:pPr>
        <w:spacing w:after="120"/>
      </w:pPr>
      <w:r>
        <w:rPr>
          <w:highlight w:val="yellow"/>
          <w:highlightCs w:val="yellow"/>
        </w:rPr>
        <w:t xml:space="preserve">[Proposed use compared with original scope; relevant observation dates; unresolved findings and report references; any requested update or additional work; who will determine what is needed.]</w:t>
      </w:r>
    </w:p>
    <w:p/>
    <w:p>
      <w:pPr>
        <w:pStyle w:val="Heading2"/>
      </w:pPr>
      <w:r>
        <w:t xml:space="preserve">Decision and Distribution Record</w:t>
      </w:r>
    </w:p>
    <w:p>
      <w:pPr>
        <w:spacing w:after="120"/>
      </w:pPr>
      <w:r>
        <w:rPr>
          <w:i/>
          <w:iCs/>
          <w:sz w:val="18"/>
          <w:szCs w:val="18"/>
        </w:rPr>
        <w:t xml:space="preserve">Use an explicit status such as pending, declined, or letter issued. Record who answered and which document contains the operative terms. A sent email establishes that the request travelled; it does not establish the answer. Keep the distribution list tied to the exact files supplied.</w:t>
      </w:r>
    </w:p>
    <w:p>
      <w:pPr>
        <w:spacing w:after="120"/>
      </w:pPr>
      <w:r>
        <w:rPr>
          <w:highlight w:val="yellow"/>
          <w:highlightCs w:val="yellow"/>
        </w:rPr>
        <w:t xml:space="preserve">[Request date; decision status and date; person recording the decision; issued letter filename and date if applicable; report files delivered, recipients and transmission date; unresolved actions.]</w:t>
      </w:r>
    </w:p>
    <w:p/>
    <w:p>
      <w:pPr>
        <w:spacing w:before="240"/>
      </w:pPr>
      <w:r>
        <w:rPr>
          <w:i/>
          <w:iCs/>
          <w:sz w:val="18"/>
          <w:szCs w:val="18"/>
        </w:rPr>
        <w:t xml:space="preserve">This template is a general drafting aid. It is not engineering or legal advice, and not an opinion on any building. Client scope governs the assessment, and state and local requirements vary. Adapt this to your engagement and your jurisdiction. Delete this notice before sending.</w:t>
      </w:r>
    </w:p>
    <w:p>
      <w:r>
        <w:br w:type="page"/>
      </w:r>
    </w:p>
    <w:p>
      <w:pPr>
        <w:pStyle w:val="Heading1"/>
      </w:pPr>
      <w:r>
        <w:t xml:space="preserve">Worked example</w:t>
      </w:r>
    </w:p>
    <w:p>
      <w:pPr>
        <w:pBdr>
          <w:left w:val="single" w:color="999999" w:sz="12" w:space="12"/>
        </w:pBdr>
        <w:spacing w:after="200"/>
      </w:pPr>
      <w:r>
        <w:rPr>
          <w:b/>
          <w:bCs/>
          <w:sz w:val="18"/>
          <w:szCs w:val="18"/>
        </w:rPr>
        <w:t xml:space="preserve">FICTIONAL — for illustration only. Every name, figure and date below is invented. Delete this whole section before you use the template above.</w:t>
      </w:r>
    </w:p>
    <w:p>
      <w:pPr>
        <w:spacing w:after="120"/>
      </w:pPr>
      <w:r>
        <w:rPr>
          <w:i/>
          <w:iCs/>
          <w:sz w:val="20"/>
          <w:szCs w:val="20"/>
        </w:rPr>
        <w:t xml:space="preserve">Fictional. A reliance request following the Bellwether Commons PCR issued on 27 March 2026 for Northbank Capital. The property, parties, correspondence and dates are invented and illustrative. This example records a request; it grants no reliance and leaves the proposed lender's terms open.</w:t>
      </w:r>
    </w:p>
    <w:p/>
    <w:p>
      <w:pPr>
        <w:pStyle w:val="Heading2"/>
      </w:pPr>
      <w:r>
        <w:t xml:space="preserve">Report and Engagement Identification</w:t>
      </w:r>
    </w:p>
    <w:p>
      <w:pPr>
        <w:spacing w:after="120"/>
      </w:pPr>
      <w:r>
        <w:t xml:space="preserve">The request concerns Bellwether Commons, 4400 Ridgeline Drive, Columbus, Ohio, under Northbank Capital engagement NC-2026-0217. The packet identifies the PCR issued on 27 March 2026 following M. Reyes's visit on 4 March. It includes the report narrative, Immediate Repairs Table, Replacement Reserves Table and report appendices as one issue set. Northbank's transaction coordinator has also retained the 18 March draft summary in the transaction folder; that draft is identified in this request as superseded and is excluded from the proposed reliance packet. The issue date is recorded separately from the visit date so the request does not suggest another visit occurred in late March.</w:t>
      </w:r>
    </w:p>
    <w:p/>
    <w:p>
      <w:pPr>
        <w:pStyle w:val="Heading2"/>
      </w:pPr>
      <w:r>
        <w:t xml:space="preserve">Proposed Relying Party and Use</w:t>
      </w:r>
    </w:p>
    <w:p>
      <w:pPr>
        <w:spacing w:after="120"/>
      </w:pPr>
      <w:r>
        <w:t xml:space="preserve">On 30 March, the proposed acquisition lender, Cedar Reach Bank, asks for a letter naming it as a relying party for its lending decision on Bellwether Commons. Cedar Reach Bank is an invented institution used only in this example. Its request also refers to future loan participants without naming them. The log records the bank's name as supplied and flags the additional parties for clarification. The bank's transaction contact is the correspondence recipient, not an extra relying entity. The existing PCR already identifies Northbank Capital and its lender as intended users; the packet asks how the newly supplied name and broader request fit the actual engagement terms.</w:t>
      </w:r>
    </w:p>
    <w:p/>
    <w:p>
      <w:pPr>
        <w:pStyle w:val="Heading2"/>
      </w:pPr>
      <w:r>
        <w:t xml:space="preserve">Existing Terms and Requested Changes</w:t>
      </w:r>
    </w:p>
    <w:p>
      <w:pPr>
        <w:spacing w:after="120"/>
      </w:pPr>
      <w:r>
        <w:t xml:space="preserve">Northbank asks the consultant to consider the bank's proposed wording and to identify any consent or amended terms needed under the engagement. The request attaches the bank's wording alongside the engagement reference rather than replacing the PCR's purpose paragraph. The bank's request for unnamed future participants has no recorded agreement. No fee, liability allocation or assignment provision is invented to fill that gap. The coordinator leaves those fields pending and asks the contracting parties to provide their settled wording. No signed letter is included in the packet at this stage, and the coordinator's covering email is labelled as a request for a decision.</w:t>
      </w:r>
    </w:p>
    <w:p/>
    <w:p>
      <w:pPr>
        <w:pStyle w:val="Heading2"/>
      </w:pPr>
      <w:r>
        <w:t xml:space="preserve">Scope, Dates and Outstanding Questions</w:t>
      </w:r>
    </w:p>
    <w:p>
      <w:pPr>
        <w:spacing w:after="120"/>
      </w:pPr>
      <w:r>
        <w:t xml:space="preserve">The packet directs the bank to the issued limitations concerning the unaccessed clubhouse roof, snow-covered northern paving and unidentified electrical panels. It asks the consultant whether the proposed lending use calls for any additional work. It does not report that any of these questions has been resolved. The request concerns the existing acquisition assessment and supplies no new client form or revised observation scope. Agency financing was contemplated, but this request does not convert the existing work into an agency assignment. Any request to describe present conditions will receive its own scope and date discussion before the report is changed.</w:t>
      </w:r>
    </w:p>
    <w:p/>
    <w:p>
      <w:pPr>
        <w:pStyle w:val="Heading2"/>
      </w:pPr>
      <w:r>
        <w:t xml:space="preserve">Decision and Distribution Record</w:t>
      </w:r>
    </w:p>
    <w:p>
      <w:pPr>
        <w:spacing w:after="120"/>
      </w:pPr>
      <w:r>
        <w:t xml:space="preserve">As of the coordinator's 31 March entry, the consultant has acknowledged receipt and asked for clarification of the proposed additional parties. The status remains pending. The log records the complete issue set supplied for consideration, the requesting bank contact, Northbank's transaction contact and the consultant's engagement contact. The letter-issued field remains empty with the note 'not issued', rather than carrying the date of the acknowledgement email. The next action belongs to Northbank's transaction coordinator: obtain the clarified request and return it to the contracting parties. The file contains no representation that the bank has accepted the report or that the open property questions have changed.</w:t>
      </w:r>
    </w:p>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sz w:val="16"/>
        <w:szCs w:val="16"/>
      </w:rPr>
      <w:t xml:space="preserve">Page </w:t>
    </w:r>
    <w:r>
      <w:rPr>
        <w:sz w:val="16"/>
        <w:szCs w:val="16"/>
      </w:rPr>
      <w:fldChar w:fldCharType="begin"/>
      <w:instrText xml:space="preserve">PAGE</w:instrText>
      <w:fldChar w:fldCharType="separate"/>
      <w:fldChar w:fldCharType="end"/>
    </w:r>
    <w:r>
      <w:rPr>
        <w:sz w:val="16"/>
        <w:szCs w:val="16"/>
      </w:rPr>
      <w:t xml:space="preserve"> of </w:t>
    </w:r>
    <w:r>
      <w:rPr>
        <w:sz w:val="16"/>
        <w:szCs w:val="16"/>
      </w:rPr>
      <w:fldChar w:fldCharType="begin"/>
      <w:instrText xml:space="preserve">NUMPAGES</w:instrText>
      <w:fldChar w:fldCharType="separate"/>
      <w:fldChar w:fldCharType="end"/>
    </w:r>
    <w:r>
      <w:rPr>
        <w:i/>
        <w:iCs/>
        <w:sz w:val="16"/>
        <w:szCs w:val="16"/>
      </w:rPr>
      <w:t xml:space="preserve">   pca.professionaldrafter.com/property-condition-report/pca-reliance-letter-request/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sz w:val="16"/>
        <w:szCs w:val="16"/>
      </w:rPr>
      <w:t xml:space="preserve">PCA Reliance Letter Request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PCA Reliance Letter Request Template &amp; Example</dc:title>
  <dc:creator>Property Condition Report Library</dc:creator>
  <dc:description>A PCA reliance request packet identifying the report, proposed relying party, transaction and open terms. Worked example and free Word template.</dc:description>
  <cp:lastModifiedBy>Un-named</cp:lastModifiedBy>
  <cp:revision>1</cp:revision>
  <dcterms:created xsi:type="dcterms:W3CDTF">2026-10-13T13:36:14.124Z</dcterms:created>
  <dcterms:modified xsi:type="dcterms:W3CDTF">2026-10-13T13:36:14.124Z</dcterms:modified>
</cp:coreProperties>
</file>

<file path=docProps/custom.xml><?xml version="1.0" encoding="utf-8"?>
<Properties xmlns="http://schemas.openxmlformats.org/officeDocument/2006/custom-properties" xmlns:vt="http://schemas.openxmlformats.org/officeDocument/2006/docPropsVTypes"/>
</file>