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PCA &amp; Phase I ESA Coordination</w:t>
      </w:r>
    </w:p>
    <w:p>
      <w:pPr>
        <w:spacing w:after="120"/>
      </w:pPr>
      <w:r>
        <w:rPr>
          <w:i/>
          <w:iCs/>
          <w:sz w:val="20"/>
          <w:szCs w:val="20"/>
        </w:rPr>
        <w:t xml:space="preserve">Fillable template. Everything highlighted in yellow is yours to replace — 9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pca.professionaldrafter.com/property-condition-report/pca-phase-i-esa-coordination/</w:t>
      </w:r>
    </w:p>
    <w:p/>
    <w:p>
      <w:pPr>
        <w:pStyle w:val="Heading2"/>
      </w:pPr>
      <w:r>
        <w:t xml:space="preserve">Transaction and Assignment Register</w:t>
      </w:r>
    </w:p>
    <w:p>
      <w:pPr>
        <w:spacing w:after="120"/>
      </w:pPr>
      <w:r>
        <w:rPr>
          <w:i/>
          <w:iCs/>
          <w:sz w:val="18"/>
          <w:szCs w:val="18"/>
        </w:rPr>
        <w:t xml:space="preserve">Record the property identifier and transaction once, then give each assignment its own scope reference, contact, intended recipient and status. Confirm that both references identify the same intended property; a matching street address alone need not settle the requested extent.</w:t>
      </w:r>
    </w:p>
    <w:p>
      <w:pPr>
        <w:spacing w:after="120"/>
      </w:pPr>
      <w:r>
        <w:rPr>
          <w:highlight w:val="yellow"/>
          <w:highlightCs w:val="yellow"/>
        </w:rPr>
        <w:t xml:space="preserve">[Property and transaction reference; buyer and lender contacts; PCA engagement, consultant and intended recipient; ESA engagement, environmental contact and intended recipient; property-identification questions.]</w:t>
      </w:r>
    </w:p>
    <w:p/>
    <w:p>
      <w:pPr>
        <w:pStyle w:val="Heading2"/>
      </w:pPr>
      <w:r>
        <w:t xml:space="preserve">Milestones and Timing Confirmation</w:t>
      </w:r>
    </w:p>
    <w:p>
      <w:pPr>
        <w:spacing w:after="120"/>
      </w:pPr>
      <w:r>
        <w:rPr>
          <w:i/>
          <w:iCs/>
          <w:sz w:val="18"/>
          <w:szCs w:val="18"/>
        </w:rPr>
        <w:t xml:space="preserve">Separate the visit, draft, final report, client decision and proposed acquisition dates. Ask the environmental professional to identify applicable inquiry and update dates for the environmental assignment. EPA's timing guidance is a reason to track that check; it is not a PCA expiry rule or a substitute for the environmental professional's assessment.</w:t>
      </w:r>
    </w:p>
    <w:p>
      <w:pPr>
        <w:spacing w:after="120"/>
      </w:pPr>
      <w:r>
        <w:t xml:space="preserve">Proposed acquisition date / last change: </w:t>
      </w:r>
      <w:r>
        <w:rPr>
          <w:highlight w:val="yellow"/>
          <w:highlightCs w:val="yellow"/>
        </w:rPr>
        <w:t xml:space="preserve">[ ______________________ ]</w:t>
      </w:r>
    </w:p>
    <w:p>
      <w:pPr>
        <w:spacing w:after="120"/>
      </w:pPr>
      <w:r>
        <w:t xml:space="preserve">PCA milestone status: </w:t>
      </w:r>
      <w:r>
        <w:rPr>
          <w:highlight w:val="yellow"/>
          <w:highlightCs w:val="yellow"/>
        </w:rPr>
        <w:t xml:space="preserve">[ ______________________ ]</w:t>
      </w:r>
    </w:p>
    <w:p>
      <w:pPr>
        <w:spacing w:after="120"/>
      </w:pPr>
      <w:r>
        <w:t xml:space="preserve">ESA milestone status: </w:t>
      </w:r>
      <w:r>
        <w:rPr>
          <w:highlight w:val="yellow"/>
          <w:highlightCs w:val="yellow"/>
        </w:rPr>
        <w:t xml:space="preserve">[ ______________________ ]</w:t>
      </w:r>
    </w:p>
    <w:p>
      <w:pPr>
        <w:spacing w:after="120"/>
      </w:pPr>
      <w:r>
        <w:rPr>
          <w:highlight w:val="yellow"/>
          <w:highlightCs w:val="yellow"/>
        </w:rPr>
        <w:t xml:space="preserve">[For each assignment: visit and research dates, draft and final delivery, client decision milestone, proposed acquisition date; person confirming applicable timing; confirmation date and open update actions.]</w:t>
      </w:r>
    </w:p>
    <w:p/>
    <w:p>
      <w:pPr>
        <w:pStyle w:val="Heading2"/>
      </w:pPr>
      <w:r>
        <w:t xml:space="preserve">Shared Access and Document Routing</w:t>
      </w:r>
    </w:p>
    <w:p>
      <w:pPr>
        <w:spacing w:after="120"/>
      </w:pPr>
      <w:r>
        <w:rPr>
          <w:i/>
          <w:iCs/>
          <w:sz w:val="18"/>
          <w:szCs w:val="18"/>
        </w:rPr>
        <w:t xml:space="preserve">Coordinate the site contact, keys and interview availability, then record who needs each item. Use the [pre-survey request](/field-observations/pre-survey-information-request/) for the PCA's actual request list. Sharing an appointment or forwarding a document does not establish that both consultants received or evaluated it.</w:t>
      </w:r>
    </w:p>
    <w:p>
      <w:pPr>
        <w:spacing w:after="120"/>
      </w:pPr>
      <w:r>
        <w:rPr>
          <w:highlight w:val="yellow"/>
          <w:highlightCs w:val="yellow"/>
        </w:rPr>
        <w:t xml:space="preserve">[Shared site contact and appointment; each consultant's access needs; documents requested by each; provider and date received; permission to share where needed; recipient and receipt status.]</w:t>
      </w:r>
    </w:p>
    <w:p/>
    <w:p>
      <w:pPr>
        <w:pStyle w:val="Heading2"/>
      </w:pPr>
      <w:r>
        <w:t xml:space="preserve">Questions Referred Between Assignments</w:t>
      </w:r>
    </w:p>
    <w:p>
      <w:pPr>
        <w:spacing w:after="120"/>
      </w:pPr>
      <w:r>
        <w:rPr>
          <w:i/>
          <w:iCs/>
          <w:sz w:val="18"/>
          <w:szCs w:val="18"/>
        </w:rPr>
        <w:t xml:space="preserve">Give each referred question an origin, recipient, supporting file and status. Ask the responsible consultant what it means within that assignment. Keep environmental interpretations with the environmental professional; the coordination sheet records the referral and response without producing a finding.</w:t>
      </w:r>
    </w:p>
    <w:p>
      <w:pPr>
        <w:spacing w:after="120"/>
      </w:pPr>
      <w:r>
        <w:rPr>
          <w:highlight w:val="yellow"/>
          <w:highlightCs w:val="yellow"/>
        </w:rPr>
        <w:t xml:space="preserve">[Question ID; originating assignment; factual question or information supplied; file and date; consultant receiving it; response reference; effect to be considered in each deliverable; open action.]</w:t>
      </w:r>
    </w:p>
    <w:p/>
    <w:p>
      <w:pPr>
        <w:pStyle w:val="Heading2"/>
      </w:pPr>
      <w:r>
        <w:t xml:space="preserve">Deliverables and Unresolved Decisions</w:t>
      </w:r>
    </w:p>
    <w:p>
      <w:pPr>
        <w:spacing w:after="120"/>
      </w:pPr>
      <w:r>
        <w:rPr>
          <w:i/>
          <w:iCs/>
          <w:sz w:val="18"/>
          <w:szCs w:val="18"/>
        </w:rPr>
        <w:t xml:space="preserve">List the exact report files received and their issue status. Separate report receipt from the buyer's or lender's decision to proceed. If one report is outstanding, name it and identify who will address the missing decision; avoid describing the combined package as complete.</w:t>
      </w:r>
    </w:p>
    <w:p>
      <w:pPr>
        <w:spacing w:after="120"/>
      </w:pPr>
      <w:r>
        <w:rPr>
          <w:highlight w:val="yellow"/>
          <w:highlightCs w:val="yellow"/>
        </w:rPr>
        <w:t xml:space="preserve">[PCA narrative and both tables, issue and status; separate ESA report, issue and status; unresolved questions in each; client decision or instruction reference; next action and responsible contact.]</w:t>
      </w:r>
    </w:p>
    <w:p/>
    <w:p>
      <w:pPr>
        <w:pStyle w:val="Heading2"/>
      </w:pPr>
      <w:r>
        <w:t xml:space="preserve">Acquisition-Date Change Record</w:t>
      </w:r>
    </w:p>
    <w:p>
      <w:pPr>
        <w:spacing w:after="120"/>
      </w:pPr>
      <w:r>
        <w:rPr>
          <w:i/>
          <w:iCs/>
          <w:sz w:val="18"/>
          <w:szCs w:val="18"/>
        </w:rPr>
        <w:t xml:space="preserve">When the target date moves, circulate the changed date to both assignment contacts and record their separate responses. Keep requests, confirmations and updates distinct. Record a completed timing check only when the responsible person supplies it.</w:t>
      </w:r>
    </w:p>
    <w:p>
      <w:pPr>
        <w:spacing w:after="120"/>
      </w:pPr>
      <w:r>
        <w:rPr>
          <w:highlight w:val="yellow"/>
          <w:highlightCs w:val="yellow"/>
        </w:rPr>
        <w:t xml:space="preserve">[Previous and revised acquisition dates; date change received; contacts notified; PCA response; environmental timing response; further work or documentation requested; current unresolved actions.]</w:t>
      </w:r>
    </w:p>
    <w:p/>
    <w:p>
      <w:pPr>
        <w:spacing w:before="240"/>
      </w:pPr>
      <w:r>
        <w:rPr>
          <w:i/>
          <w:iCs/>
          <w:sz w:val="18"/>
          <w:szCs w:val="18"/>
        </w:rPr>
        <w:t xml:space="preserve">This template is a general drafting aid. It is not engineering or legal advice, and not an opinion on any building. Client scope governs the assessment, and state and local requirements vary. Adapt this to your engagement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Alder Row Acquisitions is considering Millrace Commerce Center, an invented office property in Columbus, Ohio. All parties, dates, documents and events are invented and illustrative. This example records coordination only: it makes no environmental finding and leaves the combined due-diligence package incomplete.</w:t>
      </w:r>
    </w:p>
    <w:p/>
    <w:p>
      <w:pPr>
        <w:pStyle w:val="Heading2"/>
      </w:pPr>
      <w:r>
        <w:t xml:space="preserve">Transaction and Assignment Register</w:t>
      </w:r>
    </w:p>
    <w:p>
      <w:pPr>
        <w:spacing w:after="120"/>
      </w:pPr>
      <w:r>
        <w:t xml:space="preserve">The coordinator opens transaction file MR-2026-04 for Alder Row Acquisitions. The buyer has ordered a commercial PCA and a separate Phase I ESA. Each engagement appears on its own line with its consultant's project reference, contact and report recipient. The property description supplied with each order is to be checked against the buyer's transaction documents. At this stage the coordinator has no basis to substitute one consultant's property description for the other's. The PCA order calls for a Word narrative with an Immediate Repairs Table and a Replacement Reserves Table; the environmental report is listed as a separate file to be delivered under its own engagement.</w:t>
      </w:r>
    </w:p>
    <w:p/>
    <w:p>
      <w:pPr>
        <w:pStyle w:val="Heading2"/>
      </w:pPr>
      <w:r>
        <w:t xml:space="preserve">Milestones and Timing Confirmation</w:t>
      </w:r>
    </w:p>
    <w:p>
      <w:pPr>
        <w:spacing w:after="120"/>
      </w:pPr>
      <w:r>
        <w:t xml:space="preserve">The working calendar proposes a site appointment on 8 April, separate draft deliveries on 16 April and a buyer decision meeting on 22 April, ahead of a proposed 30 April acquisition. These dates are administrative choices for this fictional matter, not standard turnaround periods. Both consultants are asked to confirm their milestones. The environmental contact is also asked to identify the dates relevant to the environmental inquiry and any update needed for the proposed acquisition. That confirmation is not yet in the file. The coordinator does not calculate an environmental validity date from the draft delivery date or apply one to the PCA.</w:t>
      </w:r>
    </w:p>
    <w:p/>
    <w:p>
      <w:pPr>
        <w:pStyle w:val="Heading2"/>
      </w:pPr>
      <w:r>
        <w:t xml:space="preserve">Shared Access and Document Routing</w:t>
      </w:r>
    </w:p>
    <w:p>
      <w:pPr>
        <w:spacing w:after="120"/>
      </w:pPr>
      <w:r>
        <w:t xml:space="preserve">The owner's site manager can make keys and interview time available at the proposed appointment. The coordinator circulates each consultant's access request to that contact and asks for confirmation of the arrangements separately. A site plan supplied by the seller is logged with its filename, stated date and date received, then forwarded to both consultants with receipt status tracked for each. The environmental consultant's questionnaire is routed to the buyer for completion. The PCA assessor's maintenance-record request remains on the PCA list. Neither item is marked complete merely because the other consultant has received material from the same person.</w:t>
      </w:r>
    </w:p>
    <w:p/>
    <w:p>
      <w:pPr>
        <w:pStyle w:val="Heading2"/>
      </w:pPr>
      <w:r>
        <w:t xml:space="preserve">Questions Referred Between Assignments</w:t>
      </w:r>
    </w:p>
    <w:p>
      <w:pPr>
        <w:spacing w:after="120"/>
      </w:pPr>
      <w:r>
        <w:t xml:space="preserve">Referral R-01 concerns an older document title mentioned in the seller's file index, with no corresponding attachment. The coordinator asks the seller for the missing file and notifies both consultants that its contents are unknown. The environmental contact will determine whether the document is relevant to that assignment when received; the PCA assessor will determine whether it informs the physical-condition report. There is no description of contamination, a release, a repair obligation or a clearance decision in this entry. The referral remains an information request, with the seller as the next-action contact and both consultants copied on the status.</w:t>
      </w:r>
    </w:p>
    <w:p/>
    <w:p>
      <w:pPr>
        <w:pStyle w:val="Heading2"/>
      </w:pPr>
      <w:r>
        <w:t xml:space="preserve">Deliverables and Unresolved Decisions</w:t>
      </w:r>
    </w:p>
    <w:p>
      <w:pPr>
        <w:spacing w:after="120"/>
      </w:pPr>
      <w:r>
        <w:t xml:space="preserve">By the proposed decision meeting, the PCA draft narrative and both draft tables have arrived. The final PCA has not been issued and the environmental report has not been received. The coordinator lists the draft filenames and their status, carries R-01 as open and sends the buyer a delivery-status note. The note does not label the property acceptable or the due diligence complete. It asks the buyer's transaction contact to confirm the revised decision sequence with the lender and consultants. No environmental allowance is inserted into the PCA tables to stand in for the missing environmental report.</w:t>
      </w:r>
    </w:p>
    <w:p/>
    <w:p>
      <w:pPr>
        <w:pStyle w:val="Heading2"/>
      </w:pPr>
      <w:r>
        <w:t xml:space="preserve">Acquisition-Date Change Record</w:t>
      </w:r>
    </w:p>
    <w:p>
      <w:pPr>
        <w:spacing w:after="120"/>
      </w:pPr>
      <w:r>
        <w:t xml:space="preserve">The buyer subsequently advises that the proposed acquisition has moved from 30 April to 29 May. The coordinator records when that change arrived and sends the new target to both assignment contacts. The PCA consultant is asked whether the engagement calls for further work before the later transaction date; the environmental professional is asked to confirm the inquiry timing and any update needed for that date. Both responses remain pending at the last entry shown. The changed calendar is therefore a notice and an action list, not confirmation that either report will address the later date without additional work.</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pca.professionaldrafter.com/property-condition-report/pca-phase-i-esa-coordination/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PCA &amp; Phase I ESA Coordination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 &amp; Phase I ESA Coordination Template &amp; Example</dc:title>
  <dc:creator>Property Condition Report Library</dc:creator>
  <dc:description>Coordinate a PCA and Phase I ESA for commercial acquisition due diligence: dates, separate reports, shared access and open actions. Free Word template.</dc:description>
  <cp:lastModifiedBy>Un-named</cp:lastModifiedBy>
  <cp:revision>1</cp:revision>
  <dcterms:created xsi:type="dcterms:W3CDTF">2026-10-13T13:36:14.182Z</dcterms:created>
  <dcterms:modified xsi:type="dcterms:W3CDTF">2026-10-13T13:36:14.182Z</dcterms:modified>
</cp:coreProperties>
</file>

<file path=docProps/custom.xml><?xml version="1.0" encoding="utf-8"?>
<Properties xmlns="http://schemas.openxmlformats.org/officeDocument/2006/custom-properties" xmlns:vt="http://schemas.openxmlformats.org/officeDocument/2006/docPropsVTypes"/>
</file>