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PCA Executive Summary</w:t>
      </w:r>
    </w:p>
    <w:p>
      <w:pPr>
        <w:spacing w:after="120"/>
      </w:pPr>
      <w:r>
        <w:rPr>
          <w:i/>
          <w:iCs/>
          <w:sz w:val="20"/>
          <w:szCs w:val="20"/>
        </w:rPr>
        <w:t xml:space="preserve">Fillable template. Everything highlighted in yellow is yours to replace — 15 places in this document. Delete anything that does not apply to your file. If any yellow is left, it is not finished.</w:t>
      </w:r>
    </w:p>
    <w:p>
      <w:pPr>
        <w:spacing w:after="120"/>
      </w:pPr>
      <w:r>
        <w:rPr>
          <w:i/>
          <w:iCs/>
          <w:sz w:val="20"/>
          <w:szCs w:val="20"/>
        </w:rPr>
        <w:t xml:space="preserve">A completed example of this document is on page 2. Section-by-section guidance: pca.professionaldrafter.com/property-condition-report/pca-executive-summary/</w:t>
      </w:r>
    </w:p>
    <w:p/>
    <w:p>
      <w:pPr>
        <w:pStyle w:val="Heading2"/>
      </w:pPr>
      <w:r>
        <w:t xml:space="preserve">Property and Assessment Identification</w:t>
      </w:r>
    </w:p>
    <w:p>
      <w:pPr>
        <w:spacing w:after="120"/>
      </w:pPr>
      <w:r>
        <w:rPr>
          <w:i/>
          <w:iCs/>
          <w:sz w:val="18"/>
          <w:szCs w:val="18"/>
        </w:rPr>
        <w:t xml:space="preserve">Name, address, size, age, and the date of the site visit. The date does more work than it looks: everything in the report describes the property on that day, and a summary read a year later needs to say so on its face.</w:t>
      </w:r>
    </w:p>
    <w:p>
      <w:pPr>
        <w:spacing w:after="120"/>
      </w:pPr>
      <w:r>
        <w:t xml:space="preserve">Property name and address: </w:t>
      </w:r>
      <w:r>
        <w:rPr>
          <w:highlight w:val="yellow"/>
          <w:highlightCs w:val="yellow"/>
        </w:rPr>
        <w:t xml:space="preserve">[ ______________________ ]</w:t>
      </w:r>
    </w:p>
    <w:p>
      <w:pPr>
        <w:spacing w:after="120"/>
      </w:pPr>
      <w:r>
        <w:t xml:space="preserve">Use and size: </w:t>
      </w:r>
      <w:r>
        <w:rPr>
          <w:highlight w:val="yellow"/>
          <w:highlightCs w:val="yellow"/>
        </w:rPr>
        <w:t xml:space="preserve">[ ______________________ ]</w:t>
      </w:r>
    </w:p>
    <w:p>
      <w:pPr>
        <w:spacing w:after="120"/>
      </w:pPr>
      <w:r>
        <w:t xml:space="preserve">Year built / renovated: </w:t>
      </w:r>
      <w:r>
        <w:rPr>
          <w:highlight w:val="yellow"/>
          <w:highlightCs w:val="yellow"/>
        </w:rPr>
        <w:t xml:space="preserve">[ ______________________ ]</w:t>
      </w:r>
    </w:p>
    <w:p>
      <w:pPr>
        <w:spacing w:after="120"/>
      </w:pPr>
      <w:r>
        <w:t xml:space="preserve">Date of site visit: </w:t>
      </w:r>
      <w:r>
        <w:rPr>
          <w:highlight w:val="yellow"/>
          <w:highlightCs w:val="yellow"/>
        </w:rPr>
        <w:t xml:space="preserve">[ ______________________ ]</w:t>
      </w:r>
    </w:p>
    <w:p>
      <w:pPr>
        <w:spacing w:after="120"/>
      </w:pPr>
      <w:r>
        <w:rPr>
          <w:highlight w:val="yellow"/>
          <w:highlightCs w:val="yellow"/>
        </w:rPr>
        <w:t xml:space="preserve">[Property name, address, use, size, year built, date of site visit, assessor.]</w:t>
      </w:r>
    </w:p>
    <w:p/>
    <w:p>
      <w:pPr>
        <w:pStyle w:val="Heading2"/>
      </w:pPr>
      <w:r>
        <w:t xml:space="preserve">Client, Intended User and Purpose</w:t>
      </w:r>
    </w:p>
    <w:p>
      <w:pPr>
        <w:spacing w:after="120"/>
      </w:pPr>
      <w:r>
        <w:rPr>
          <w:i/>
          <w:iCs/>
          <w:sz w:val="18"/>
          <w:szCs w:val="18"/>
        </w:rPr>
        <w:t xml:space="preserve">Who commissioned the work, who may rely on it, and for what transaction. Reliance is the part readers most often assume rather than read.</w:t>
      </w:r>
    </w:p>
    <w:p>
      <w:pPr>
        <w:spacing w:after="120"/>
      </w:pPr>
      <w:r>
        <w:rPr>
          <w:highlight w:val="yellow"/>
          <w:highlightCs w:val="yellow"/>
        </w:rPr>
        <w:t xml:space="preserve">[Who commissioned the assessment, the intended user, the purpose, and any reliance limitation.]</w:t>
      </w:r>
    </w:p>
    <w:p/>
    <w:p>
      <w:pPr>
        <w:pStyle w:val="Heading2"/>
      </w:pPr>
      <w:r>
        <w:t xml:space="preserve">Scope Followed and Departures</w:t>
      </w:r>
    </w:p>
    <w:p>
      <w:pPr>
        <w:spacing w:after="120"/>
      </w:pPr>
      <w:r>
        <w:rPr>
          <w:i/>
          <w:iCs/>
          <w:sz w:val="18"/>
          <w:szCs w:val="18"/>
        </w:rPr>
        <w:t xml:space="preserve">One short paragraph: the standard or client scope, and any agreed departure. If unit observation was by sample, this is where a reader learns it, not on page forty. Name the report format too where the client sets one — a report written to Fannie Mae's Form 4099 follows its seven numbered sections, and saying so tells a reviewer that the section numbers they are about to look for are the ones on the page.</w:t>
      </w:r>
    </w:p>
    <w:p>
      <w:pPr>
        <w:spacing w:after="120"/>
      </w:pPr>
      <w:r>
        <w:rPr>
          <w:highlight w:val="yellow"/>
          <w:highlightCs w:val="yellow"/>
        </w:rPr>
        <w:t xml:space="preserve">[Standard or client scope followed, and each agreed departure — sampling, excluded systems, specialists not engaged.]</w:t>
      </w:r>
    </w:p>
    <w:p/>
    <w:p>
      <w:pPr>
        <w:pStyle w:val="Heading2"/>
      </w:pPr>
      <w:r>
        <w:t xml:space="preserve">Overall Condition</w:t>
      </w:r>
    </w:p>
    <w:p>
      <w:pPr>
        <w:spacing w:after="120"/>
      </w:pPr>
      <w:r>
        <w:rPr>
          <w:i/>
          <w:iCs/>
          <w:sz w:val="18"/>
          <w:szCs w:val="18"/>
        </w:rPr>
        <w:t xml:space="preserve">A plain characterisation of the property's condition for its age and type, supported by the reason for it. If a rating is given, name the scale it comes from: ASTM E2018-24 prescribes none, so the scale is always the client's. On a Fannie Mae loan it is the Property Condition Rating from the MBA Standard Inspection Form, 1 being the best rating and 5 the lowest, with Not Applicable and Not Accessible available at component level; Fannie Mae describes that single form, built on its own rating definitions, as having replaced the two that preceded it on 1 January 2024, with version 4.03 required for all mortgage loans since 1 January 2026 — an account taken from Fannie's materials, since MBA's own pages for the form are gated and were not read. Take the definitions from the form's rating definitions tab rather than from a secondary summary. Whatever the scale, do not reach the overall rating by averaging component ratings — Fannie's PCA FAQ tells consultants to avoid it, because one strong system should not be able to conceal a failing one.</w:t>
      </w:r>
    </w:p>
    <w:p>
      <w:pPr>
        <w:spacing w:after="120"/>
      </w:pPr>
      <w:r>
        <w:rPr>
          <w:highlight w:val="yellow"/>
          <w:highlightCs w:val="yellow"/>
        </w:rPr>
        <w:t xml:space="preserve">[Overall condition and the basis for it. If the client scope requires a rating, give the rating, name the scale it comes from, and state how it was derived.]</w:t>
      </w:r>
    </w:p>
    <w:p/>
    <w:p>
      <w:pPr>
        <w:pStyle w:val="Heading2"/>
      </w:pPr>
      <w:r>
        <w:t xml:space="preserve">Cost Summary</w:t>
      </w:r>
    </w:p>
    <w:p>
      <w:pPr>
        <w:spacing w:after="120"/>
      </w:pPr>
      <w:r>
        <w:rPr>
          <w:i/>
          <w:iCs/>
          <w:sz w:val="18"/>
          <w:szCs w:val="18"/>
        </w:rPr>
        <w:t xml:space="preserve">The immediate repairs total, the reserve total, the evaluation term, and the per-unit or per-square-foot figure if the client expects one. State the term next to the total and say where it came from: E2018-24 supplies no default, defining long-term costs only as replacement anticipated over an evaluation period defined by the user, so the term is the client's in every case. On a Fannie Mae loan it is the loan term plus two years beyond maturity, per Form 4099. The other discipline this section needs is arithmetic: the summary is written first and revised last, and the totals here must be reconciled against the final schedules before issue. Where a figure has changed since a draft went out, say so in the summary rather than silently replacing it — a reader holding the earlier copy needs to know which number governs.</w:t>
      </w:r>
    </w:p>
    <w:p>
      <w:pPr>
        <w:spacing w:after="120"/>
      </w:pPr>
      <w:r>
        <w:t xml:space="preserve">Total immediate repairs: </w:t>
      </w:r>
      <w:r>
        <w:rPr>
          <w:highlight w:val="yellow"/>
          <w:highlightCs w:val="yellow"/>
        </w:rPr>
        <w:t xml:space="preserve">[ ______________________ ]</w:t>
      </w:r>
    </w:p>
    <w:p>
      <w:pPr>
        <w:spacing w:after="120"/>
      </w:pPr>
      <w:r>
        <w:t xml:space="preserve">Total replacement reserves: </w:t>
      </w:r>
      <w:r>
        <w:rPr>
          <w:highlight w:val="yellow"/>
          <w:highlightCs w:val="yellow"/>
        </w:rPr>
        <w:t xml:space="preserve">[ ______________________ ]</w:t>
      </w:r>
    </w:p>
    <w:p>
      <w:pPr>
        <w:spacing w:after="120"/>
      </w:pPr>
      <w:r>
        <w:t xml:space="preserve">Evaluation term: </w:t>
      </w:r>
      <w:r>
        <w:rPr>
          <w:highlight w:val="yellow"/>
          <w:highlightCs w:val="yellow"/>
        </w:rPr>
        <w:t xml:space="preserve">[ ______________________ ]</w:t>
      </w:r>
    </w:p>
    <w:p>
      <w:pPr>
        <w:spacing w:after="120"/>
      </w:pPr>
      <w:r>
        <w:t xml:space="preserve">Per unit / per sq ft per year: </w:t>
      </w:r>
      <w:r>
        <w:rPr>
          <w:highlight w:val="yellow"/>
          <w:highlightCs w:val="yellow"/>
        </w:rPr>
        <w:t xml:space="preserve">[ ______________________ ]</w:t>
      </w:r>
    </w:p>
    <w:p>
      <w:pPr>
        <w:spacing w:after="120"/>
      </w:pPr>
      <w:r>
        <w:rPr>
          <w:highlight w:val="yellow"/>
          <w:highlightCs w:val="yellow"/>
        </w:rPr>
        <w:t xml:space="preserve">[Total immediate repairs; total replacement reserves; evaluation term and its basis; normalised figure if required; any figure that has changed since a circulated draft, and which one governs.]</w:t>
      </w:r>
    </w:p>
    <w:p/>
    <w:p>
      <w:pPr>
        <w:pStyle w:val="Heading2"/>
      </w:pPr>
      <w:r>
        <w:t xml:space="preserve">Findings That Affect the Decision</w:t>
      </w:r>
    </w:p>
    <w:p>
      <w:pPr>
        <w:spacing w:after="120"/>
      </w:pPr>
      <w:r>
        <w:rPr>
          <w:i/>
          <w:iCs/>
          <w:sz w:val="18"/>
          <w:szCs w:val="18"/>
        </w:rPr>
        <w:t xml:space="preserve">Two to four items, each stated with its consequence. This is the section that earns the summary its place: not a list of the largest line items, but the findings a decision-maker would want to know before committing — including open questions that have not been resolved.</w:t>
      </w:r>
    </w:p>
    <w:p>
      <w:pPr>
        <w:spacing w:after="120"/>
      </w:pPr>
      <w:r>
        <w:rPr>
          <w:highlight w:val="yellow"/>
          <w:highlightCs w:val="yellow"/>
        </w:rPr>
        <w:t xml:space="preserve">[Each material finding, what is known, what is not, and what turns on it.]</w:t>
      </w:r>
    </w:p>
    <w:p/>
    <w:p>
      <w:pPr>
        <w:pStyle w:val="Heading2"/>
      </w:pPr>
      <w:r>
        <w:t xml:space="preserve">Matters Left Unresolved</w:t>
      </w:r>
    </w:p>
    <w:p>
      <w:pPr>
        <w:spacing w:after="120"/>
      </w:pPr>
      <w:r>
        <w:rPr>
          <w:i/>
          <w:iCs/>
          <w:sz w:val="18"/>
          <w:szCs w:val="18"/>
        </w:rPr>
        <w:t xml:space="preserve">Anything the assessment could not establish, and what would establish it. A summary that resolves everything is either describing an unusually simple building or hiding something; naming the open items and their cost of resolution is more useful than a confident silence.</w:t>
      </w:r>
    </w:p>
    <w:p>
      <w:pPr>
        <w:spacing w:after="120"/>
      </w:pPr>
      <w:r>
        <w:rPr>
          <w:highlight w:val="yellow"/>
          <w:highlightCs w:val="yellow"/>
        </w:rPr>
        <w:t xml:space="preserve">[Each unresolved matter, why it could not be determined, and what would resolve it.]</w:t>
      </w:r>
    </w:p>
    <w:p/>
    <w:p>
      <w:pPr>
        <w:spacing w:before="240"/>
      </w:pPr>
      <w:r>
        <w:rPr>
          <w:i/>
          <w:iCs/>
          <w:sz w:val="18"/>
          <w:szCs w:val="18"/>
        </w:rPr>
        <w:t xml:space="preserve">This template is a general drafting aid. It is not legal advice and not a coverage opinion. Claim handling requirements vary by state, and the policy actually issued governs the claim. Adapt this to your file and your jurisdiction. Delete this notice before sending.</w:t>
      </w:r>
    </w:p>
    <w:p>
      <w:r>
        <w:br w:type="page"/>
      </w:r>
    </w:p>
    <w:p>
      <w:pPr>
        <w:pStyle w:val="Heading1"/>
      </w:pPr>
      <w:r>
        <w:t xml:space="preserve">Worked example</w:t>
      </w:r>
    </w:p>
    <w:p>
      <w:pPr>
        <w:pBdr>
          <w:left w:val="single" w:color="999999" w:sz="12" w:space="12"/>
        </w:pBdr>
        <w:spacing w:after="200"/>
      </w:pPr>
      <w:r>
        <w:rPr>
          <w:b/>
          <w:bCs/>
          <w:sz w:val="18"/>
          <w:szCs w:val="18"/>
        </w:rPr>
        <w:t xml:space="preserve">FICTIONAL — for illustration only. Every name, figure and date below is invented. Delete this whole section before you use the template above.</w:t>
      </w:r>
    </w:p>
    <w:p>
      <w:pPr>
        <w:spacing w:after="120"/>
      </w:pPr>
      <w:r>
        <w:rPr>
          <w:i/>
          <w:iCs/>
          <w:sz w:val="20"/>
          <w:szCs w:val="20"/>
        </w:rPr>
        <w:t xml:space="preserve">Fictional. The executive summary of the Bellwether Commons assessment — 132 units, built 1987, Columbus, Ohio — prepared for Northbank Capital's acquisition due diligence following a 4 March 2026 site visit, with the clubhouse roof unobserved and the electrical panel type unestablished.</w:t>
      </w:r>
    </w:p>
    <w:p/>
    <w:p>
      <w:pPr>
        <w:pStyle w:val="Heading2"/>
      </w:pPr>
      <w:r>
        <w:t xml:space="preserve">Property and Assessment Identification</w:t>
      </w:r>
    </w:p>
    <w:p>
      <w:pPr>
        <w:spacing w:after="120"/>
      </w:pPr>
      <w:r>
        <w:t xml:space="preserve">Bellwether Commons, 4400 Ridgeline Drive, Columbus, Ohio. A 132-unit garden apartment property comprising eleven two-storey walk-up residential buildings and a single-storey clubhouse, totalling approximately 141,000 gross square feet on 8.4 acres, constructed in 1987. No major renovation was reported or observed. The site visit was conducted on 4 March 2026 by M. Reyes. All observations and opinions in this report describe the property as it existed on that date.</w:t>
      </w:r>
    </w:p>
    <w:p/>
    <w:p>
      <w:pPr>
        <w:pStyle w:val="Heading2"/>
      </w:pPr>
      <w:r>
        <w:t xml:space="preserve">Client, Intended User and Purpose</w:t>
      </w:r>
    </w:p>
    <w:p>
      <w:pPr>
        <w:spacing w:after="120"/>
      </w:pPr>
      <w:r>
        <w:t xml:space="preserve">This assessment was commissioned by Northbank Capital in connection with the contemplated acquisition of the property, with agency financing under consideration. It is intended for the use of Northbank Capital and its lender in evaluating that transaction. It is not intended for, and should not be relied upon by, the current owner, prospective residents, contractors bidding work identified in it, or any party using it for a purpose other than the transaction described.</w:t>
      </w:r>
    </w:p>
    <w:p/>
    <w:p>
      <w:pPr>
        <w:pStyle w:val="Heading2"/>
      </w:pPr>
      <w:r>
        <w:t xml:space="preserve">Scope Followed and Departures</w:t>
      </w:r>
    </w:p>
    <w:p>
      <w:pPr>
        <w:spacing w:after="120"/>
      </w:pPr>
      <w:r>
        <w:t xml:space="preserve">The assessment followed the baseline process described in ASTM E2018-24: a walk-through survey, review of documents made available, and interviews with property personnel. Two departures were agreed with the client in advance. Unit observation was by sample: 15 of 132 units, selected from the rent roll on the morning of the visit. No specialist consultants were engaged; where a specialist evaluation is warranted, this report recommends one rather than substituting a generalist opinion. No invasive or destructive testing was performed.</w:t>
      </w:r>
    </w:p>
    <w:p/>
    <w:p>
      <w:pPr>
        <w:pStyle w:val="Heading2"/>
      </w:pPr>
      <w:r>
        <w:t xml:space="preserve">Overall Condition</w:t>
      </w:r>
    </w:p>
    <w:p>
      <w:pPr>
        <w:spacing w:after="120"/>
      </w:pPr>
      <w:r>
        <w:t xml:space="preserve">The property is in fair to good condition for a 1987 asset of this type, and is structurally sound in all areas observed. Maintenance has been reactive rather than programmed: original systems remain in service past their typical service lives in roofing, paving and domestic water heating, and repairs have been made in response to failures rather than in anticipation of them. This is a capital timing issue rather than a condition problem — the property works, and several of its major components will require replacement in the same relatively narrow window.</w:t>
      </w:r>
    </w:p>
    <w:p/>
    <w:p>
      <w:pPr>
        <w:pStyle w:val="Heading2"/>
      </w:pPr>
      <w:r>
        <w:t xml:space="preserve">Cost Summary</w:t>
      </w:r>
    </w:p>
    <w:p>
      <w:pPr>
        <w:spacing w:after="120"/>
      </w:pPr>
      <w:r>
        <w:t xml:space="preserve">Immediate repairs total $98,216, carried as approximately $98,200. This figure supersedes the $118,400 shown in the draft summary issued on 18 March, which carried the building 3 and 7 roof valleys at full replacement; they are now carried as a temporary repair ahead of the roof replacement scheduled in reserves year one, and the immediate repairs schedule as issued governs. Replacement reserves over a twelve-year evaluation term total approximately $2,622,604, equivalent to $1,656 per unit per year. The twelve-year term was set by the client scope; neither ASTM E2018-24 nor any standard supplies a default term, and on an agency loan the term would instead be the loan term plus two years. Two components are the largest in the schedule and together account for roughly 40 percent of it: replacement of the original asphalt shingle roofs across all eleven residential buildings, carried in year one, and replacement of site asphalt paving, carried in years two and three. A reader comparing this total against another property should confirm the other report uses the same term; a shorter term will produce a materially smaller number for the same building.</w:t>
      </w:r>
    </w:p>
    <w:p/>
    <w:p>
      <w:pPr>
        <w:pStyle w:val="Heading2"/>
      </w:pPr>
      <w:r>
        <w:t xml:space="preserve">Findings That Affect the Decision</w:t>
      </w:r>
    </w:p>
    <w:p>
      <w:pPr>
        <w:spacing w:after="120"/>
      </w:pPr>
      <w:r>
        <w:t xml:space="preserve">First, exterior stair treads and handrails at buildings 2, 5, 8 and 11 exhibit rot at the stringer connections, with movement observed under load at building 8. This is the only condition observed at the property that presents a hazard to occupants rather than a maintenance cost, and it accounts for $61,000 of the $79,850 of line items behind the immediate repair total. Second, the concentration of major replacements in years one through three means the reserve schedule is front-loaded: approximately $1.48 million of the $2.28 million of component cost falls within the first three years. A funding plan built on the twelve-year average will be roughly $820,000 short at the end of year three. Third, the recurring roof leaks at buildings 3 and 7 reported by the maintenance manager have been addressed by patch repair at valley flashings; the underlying roofs are original, and further patching is not a durable answer.</w:t>
      </w:r>
    </w:p>
    <w:p/>
    <w:p>
      <w:pPr>
        <w:pStyle w:val="Heading2"/>
      </w:pPr>
      <w:r>
        <w:t xml:space="preserve">Matters Left Unresolved</w:t>
      </w:r>
    </w:p>
    <w:p>
      <w:pPr>
        <w:spacing w:after="120"/>
      </w:pPr>
      <w:r>
        <w:t xml:space="preserve">The electrical distribution panels in the residential buildings could not be identified to a manufacturer and model. Labels in the two panels opened were painted over, and no panel schedules or original electrical drawings were provided. Certain panel types manufactured in this era are subject to recalls and are treated by some lenders as an immediate repair regardless of observed condition; whether these are such panels is not established by this assessment. An electrician's identification of the panel type across a sample of buildings would resolve it at nominal cost relative to the exposure. Separately, approximately two thirds of the clubhouse low-slope roof was not observed, as no ladder of adequate length was available on site and no interior roof hatch exists. In the absence of observation and of any installation or recoating documentation, that roof is carried at full replacement in year four rather than at recoating, which is the more conservative treatment available on the information held.</w:t>
      </w:r>
    </w:p>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i/>
        <w:iCs/>
        <w:sz w:val="16"/>
        <w:szCs w:val="16"/>
      </w:rPr>
      <w:t xml:space="preserve">   pca.professionaldrafter.com/property-condition-report/pca-executive-summary/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sz w:val="16"/>
        <w:szCs w:val="16"/>
      </w:rPr>
      <w:t xml:space="preserve">PCA Executive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 Executive Summary Template &amp; Example</dc:title>
  <dc:creator>Property Condition Report Library</dc:creator>
  <dc:description>An executive summary template for a property condition report, with a filled-in example and guidance on what belongs in it and what does not. Free Word download, no signup.</dc:description>
  <cp:lastModifiedBy>Un-named</cp:lastModifiedBy>
  <cp:revision>1</cp:revision>
  <dcterms:created xsi:type="dcterms:W3CDTF">2026-08-15T12:23:24.240Z</dcterms:created>
  <dcterms:modified xsi:type="dcterms:W3CDTF">2026-08-15T12:23:24.240Z</dcterms:modified>
</cp:coreProperties>
</file>

<file path=docProps/custom.xml><?xml version="1.0" encoding="utf-8"?>
<Properties xmlns="http://schemas.openxmlformats.org/officeDocument/2006/custom-properties" xmlns:vt="http://schemas.openxmlformats.org/officeDocument/2006/docPropsVTypes"/>
</file>